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before="20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ru-RU"/>
        </w:rPr>
        <w:t>Перечень информации о деятельности аудиторской организации, подлежащей раскрытию на ее сайте в информационно-телекоммуникационной сети «Интернет»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a6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9"/>
        <w:gridCol w:w="8504"/>
      </w:tblGrid>
      <w:tr>
        <w:trPr/>
        <w:tc>
          <w:tcPr>
            <w:tcW w:w="15303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об аудиторской организации: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</w:t>
            </w:r>
          </w:p>
        </w:tc>
        <w:tc>
          <w:tcPr>
            <w:tcW w:w="8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Акционерное общество «МКД» (АО «МКД»)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Joint Stock Company «MCD» (JSC «MCD»)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адрес в пределах места нахождения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194044, г. Санкт-Петербург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вн.тер.г. муниципальный округ Сампсониевское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пр-кт Финляндский, д.4, литера А, помещ. 14-Н-517, офис 127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номер телефона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8-812-600-91-00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г) адрес электронной почты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"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en-US" w:eastAsia="ru-RU" w:bidi="ar-SA"/>
                </w:rPr>
                <w:t>office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@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en-US" w:eastAsia="ru-RU" w:bidi="ar-SA"/>
                </w:rPr>
                <w:t>mcd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.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en-US" w:eastAsia="ru-RU" w:bidi="ar-SA"/>
                </w:rPr>
                <w:t>spb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.</w:t>
              </w:r>
              <w:r>
                <w:rPr>
                  <w:rStyle w:val="Hyperlink"/>
                  <w:rFonts w:eastAsia="Times New Roman" w:cs="Times New Roman" w:ascii="Times New Roman" w:hAnsi="Times New Roman"/>
                  <w:kern w:val="0"/>
                  <w:sz w:val="24"/>
                  <w:szCs w:val="24"/>
                  <w:lang w:val="en-US" w:eastAsia="ru-RU" w:bidi="ar-SA"/>
                </w:rPr>
                <w:t>ru</w:t>
              </w:r>
            </w:hyperlink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 наличии права аудиторской организации оказывать аудиторские услуги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Последняя дата внесения сведений в реестр СРО Ассоциация «Содружество» - 03.10.2016, решение № 235, ОРНЗ 11606048526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указывается последняя дата внесения таких сведений в этот реестр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Сведения об АО «МКД» 06.02.2023 года внесены в реестр аудиторских организаций, оказывающих аудиторские услуги общественно значимым организациям,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Реестровая запись № 230007.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  <w:br/>
              <w:t>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указывается последняя дата внесения таких сведений в этот реестр.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Сведения об АО «МКД» не внесены в 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 структуре аудиторской организации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Информация о структуре аудиторской организации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Высший орган управления – Общее собрание акционеров.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компетенцию Общего собрания акционеров входят вопросы, перечисленные в статье 48 Федерального закона «Об акционерных обществах», в том числе: - учреждение, реорганизация и ликвидация общества; - увеличение или уменьшение величины уставного капитала; - утверждение изменений (принятие новых редакций) Устава общества; - избрание совета директоров общества и другие вопросы.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Коллегиальный орган управления - Совет директоров.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состав Совета директоров входят: Воропаев Ю.Н., Куранова С.В., Ветлужских Н.А.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компетенцию Совета директоров входит решение вопросов общего руководства деятельностью Общества, за исключением вопросов, отнесенных к компетенции Общего собрания акционеров, в том числе: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определение приоритетных направлений деятельности Общества;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подготовка годового собрания акционеров;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утверждение годового бюджета;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программ развития и бизнес-планов;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утверждение крупных сделок, кредитных договоров, банковских гарантий;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принятие решений об участии и прекращении участия Общества в других организациях.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Единоличный исполнительный орган – генеральный директор Воропаев Ю.Н.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компетенцию единоличного исполнительного органа входит текущее руководство деятельностью Общества, за исключением вопросов, отнесенных к компетенции Общего собрания акционеров или Совета директоров Общества.</w:t>
            </w:r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 лицах, связанных с аудиторской организацией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перечень филиалов и представительств (при наличии) с указанием адреса в пределах места нахождения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Филиалы и представительства отсутствуют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«МКД» не имеет дочерних обществ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«МКД» не является дочерним обществом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уставном капитале АО «МКД» не участвуют аудиторские организации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Распределение долей уставного капитала АО «МКД» между собственниками: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аудиторы физические лица – 98,75%: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Воропаев Юрий Николаевич – 79,63% (аудитор АО «МКД» по основному месту работы)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Куранова Светлана Вильевна – 19,13% (аудитор АО «МКД» по основному месту работы)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 иные физические лица – 1,25%.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</w:t>
              <w:br/>
              <w:t>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Воропаев Юрий Николаевич – гражданин РФ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обществах», статье 45 Федерального закона</w:t>
              <w:br/>
              <w:t>от 8 февраля 1998 г. № 14-ФЗ «Об обществах с ограниченной ответственностью»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Контролирующие лица, перечисленные в данном разделе перечня информации, отсутствуют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«Интернет», </w:t>
            </w:r>
            <w:bookmarkStart w:id="0" w:name="_Hlk162876047"/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описания характера отношений между членами указанной сети.</w:t>
            </w:r>
            <w:bookmarkEnd w:id="0"/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АО «МКД» с 1994 года входит в состав международной сети аудиторских организаций PKF International (полноправный член). Членство приостановлено с 12 апреля 2022 года.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Style w:val="Hyperlink"/>
                <w:rFonts w:ascii="Arial" w:hAnsi="Arial" w:cs="Arial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Штаб-квартира находится по адресу: Студия 215 – 216, Грейт Вестерн Студиос, Альфред Роад 65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,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Лондон, Великобритания. Официальный сайт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PKF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en-US" w:eastAsia="en-US" w:bidi="ar-SA"/>
              </w:rPr>
              <w:t>International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 xml:space="preserve"> - </w:t>
            </w:r>
            <w:hyperlink r:id="rId3"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en-US" w:eastAsia="en-US" w:bidi="ar-SA"/>
                </w:rPr>
                <w:t>http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ru-RU" w:eastAsia="en-US" w:bidi="ar-SA"/>
                </w:rPr>
                <w:t>://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en-US" w:eastAsia="en-US" w:bidi="ar-SA"/>
                </w:rPr>
                <w:t>www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en-US" w:eastAsia="en-US" w:bidi="ar-SA"/>
                </w:rPr>
                <w:t>pkf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ru-RU" w:eastAsia="en-US" w:bidi="ar-SA"/>
                </w:rPr>
                <w:t>.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en-US" w:eastAsia="en-US" w:bidi="ar-SA"/>
                </w:rPr>
                <w:t>com</w:t>
              </w:r>
              <w:r>
                <w:rPr>
                  <w:rStyle w:val="Hyperlink"/>
                  <w:rFonts w:eastAsia="Calibri" w:cs="Arial" w:ascii="Arial" w:hAnsi="Arial"/>
                  <w:kern w:val="0"/>
                  <w:sz w:val="22"/>
                  <w:szCs w:val="22"/>
                  <w:shd w:fill="FFFFFF" w:val="clear"/>
                  <w:lang w:val="ru-RU" w:eastAsia="en-US" w:bidi="ar-SA"/>
                </w:rPr>
                <w:t>/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hd w:fill="FFFFFF" w:val="clear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Члены сети - независимые компании. Компании, входящие в сеть PKF International, не принимают на себя никакие обязательства или ответственность за действия или бездействие со стороны любой отдельной фирмы-участницы или фирм участниц сети PKF International. Отдельные фирмы-участницы не принимают на себя никакие обязательства или ответственность за действия или бездействие со стороны любой другой отдельной фирмы-участницы или фирм-участниц сети PKF International.</w:t>
            </w:r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 307-ФЗ</w:t>
              <w:br/>
              <w:t>«Об аудиторской деятельности», а также кодексом профессиональной этики аудиторов и правилами независимости аудиторов и аудиторских организаций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Исполнительный орган АО «МКД» заявляет, что в АО «МКД» и ее сотрудники соблюдают требования профессиональной этики и независимости, предусмотренных: статьей 8 Федерального закона от 30 декабря 2008 г. № 307-ФЗ «Об аудиторской деятельности», Правилами независимости аудиторов и аудиторских организаций (одобрены Советом по аудиторской деятельности 19 декабря 2019 г., протокол № 51; с изменениями от 16 апреля 2021 г., протокол № 58), Кодексом профессиональной этики аудиторов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(одобрен Советом по аудиторской деятельности 21 мая 2019 г., протокол № 47; с изменениями от 17 ноября 2021 г., протокол № 61). АО «МКД» принимает все необходимы е меры для обеспечения своей независимости, в том числе, осуществляет проведение внутренних проверок соблюдения независимости в порядке, предусмотренном внутренними процедурами АО «МКД».</w:t>
            </w:r>
          </w:p>
          <w:p>
            <w:pPr>
              <w:pStyle w:val="Normal"/>
              <w:widowControl/>
              <w:tabs>
                <w:tab w:val="clear" w:pos="708"/>
                <w:tab w:val="left" w:pos="5760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Исполнительный орган АО «МКД» заявляет о признании и принятии на себя обязанности действовать в общественных интересах.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АО «МКД» применяется окладно -премиальная система оплаты труда. Премирование сотрудников происходит при достижении ими определенных уровней KPI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АО «МКД» для устранения угрозы «близкого знакомства», «личной заинтересованности» проводится ротация руководителей аудита, установленная Правила независимости аудиторов и аудиторских организаций.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АО «МКД» устанавливает следующую периодичность ротации: сотрудники не должны выполнять любую из следующих функций, в том числе если несколько таких функций выполняются последовательно, в течение периода, превышающего суммарно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семь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лет («период вовлечения»):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a) руководителя задания;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лица, назначенное ответственным за проверку качества выполнения задания;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другого ключевого лица, осуществляющего руководство заданием по аудиту.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После истечения периода вовлечения, данное лицо не должно вовлекаться в аудит в течение установленного периода невовлечения (пять последовательных лет).</w:t>
            </w:r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 контроле (надзоре) за деятельностью (качества работы) аудиторской организации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</w:t>
              <w:br/>
              <w:t>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АО «МКД» разработана, внедрена и эффективно функционирует система управления качеством для обеспечения разумной уверенности в том, что АО «МКД» и его сотрудники выполняют свои обязанности и задания в соответствии с профессиональными стандартами, применимыми требованиями законов и нормативных актов,  а также что выпущенные аудиторские заключения и отчеты по результатам задания носят надлежащий характер с учетом конкретных обстоятельств.  Исполнительный орган АО «МКД» заявляет, что в АО «МКД» организована система внутреннего управления качества работы, которая является актуальной, адекватной и эффективно функционирует, соответствующая характеру и масштабам деятельности аудиторской организации, соответствующая требованиям: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Федерального закона от 30.12.2008 г. № 307-ФЗ «Об аудиторской деятельности» в Российской Федерации;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Международный стандарт управления качеством 1 «Управление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услуг» (введен в действие на территории Российской Федерации Приказом Минфина России от 16.10.2023 N 166н) (ред. от 16.10.2023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Международного стандарта аудита 220 пересмотренный (МСА 220) «Управление качеством при проведении аудита финансовой отчетности»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других применимых нормативных актов».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Порядок организации системы внутреннего контроля качества регламентирован в утвержденном внутрифирменном стандарте «Руководство по управлению качеством АО «МКД» (в редакции Приказа от 05.12.2023г. № 14).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Основными элементами системы управления качеством являются: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процесс оценки рисков;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управление и высшее руководство;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соответствующие этические требования;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начале и (или) продолжении работы с клиентом либо работы по определенному заданию;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выполнение задания;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ресурсы (кадровые, технологические, интеллектуальные);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информационная система и информационное взаимодействие</w:t>
            </w:r>
          </w:p>
          <w:p>
            <w:pPr>
              <w:pStyle w:val="ListParagraph"/>
              <w:widowControl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процесс мониторинга и устранения недостатков.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Ответственность за организацию и функционирование системы управления контроля качеством несет генеральный директор.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Информирование персонала о политиках и процедурах в отношении управления качеством, в том числе порядок информирования о том, что весь персонал несет ответственность за качество, производится посредством: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ознакомления с приказами о введении (изменении) профессиональных требований под личную роспись сотрудников;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ежегодного подписания подтверждения ознакомления с политиками и процедурами компании в рамках «Ежегодного подтверждения» (Приложение 1) Руководства по управлению качеством);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 время прохождения программы адаптации при принятии сотрудников на работу (в рамках профессионального развития);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посредством доведения информации через ресурс бумажной библиотеки АО «МКД», информационный ресурс внутреннего интранет-сайта АО «МКД», посредством информационных рассылок по корпоративной электронной почте (брифинги, информационные сообщения, сообщения о размещении документов);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обучения на внутрифирменных семинарах, вебинарах Саморегулируемой организации аудиторов РФ Ассоциация «Содружество»;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ежегодного обязательного повышения квалификации в учебно-методических центрах саморегулируемой организации аудиторов РФ;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посредством использования информационной системы «Консультант Плюс».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«МКД» документирует доказательства функционирования каждого элемента системы управления качеством, для подтверждения актуальности, адекватности, эффективности ее функционирования, путем осуществления процесса мониторинга и формирования отчета по его результатам.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АО «МКД» хранит эту документацию в течение периода времени, достаточного для того, чтобы позволить лицам, выполняющим процедуры мониторинга (включая регулирующие органы) оценить соблюдение АО «МКД» системы внутреннего контроля качества, но не менее пяти лет.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 АО «МКД»: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2021 год – внешняя плановая проверка контроля качества Саморегулируемой организацией аудиторов Ассоциацией «Содружество» (СРО ААС);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2020 год – внешняя плановая проверка контроля качества международной сетью юридически независимых бухгалтерских и аудиторских фирм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Меры дисциплинарного и иного воздействия в отношении АО «МКД» не применялись</w:t>
            </w:r>
          </w:p>
        </w:tc>
      </w:tr>
      <w:tr>
        <w:trPr/>
        <w:tc>
          <w:tcPr>
            <w:tcW w:w="15303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Информация об аудиторах, работающих в аудиторской организации по трудовому договору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1 января 2024 года в АО «МКД» численность работающих аудиторов по основному месту работы составила 11 аудиторов, по совместительству – 9 аудиторов. Доля аудиторов, работающих по совместительству, в общей численности аудиторов, работающих в АО «МКД» по трудовому договору, по состоянию на 1 января 2024 года – 45%.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  <w:br/>
              <w:t>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  <w:br/>
              <w:t>«Об аудиторской деятельности» по состоянию на 1 января 2024 года составила 11 аудиторов.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9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        <w:br/>
              <w:t>№ 307-ФЗ 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Исполнительный орган АО «МКД» заявляет (подтверждает), что аудиторы АО «МКД» исполняют требование о ежегодном обучении по программам повышения квалификации, установленное частью 9 статьи 11 Федерального закона «Об аудиторской деятельности».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сотрудники АО «МКД», имеющие квалификационные аттестаты аудитора, ежегодно проходят обязательный курс повышения квалификации в объеме 40 часов.</w:t>
            </w:r>
          </w:p>
        </w:tc>
      </w:tr>
      <w:tr>
        <w:trPr/>
        <w:tc>
          <w:tcPr>
            <w:tcW w:w="15303" w:type="dxa"/>
            <w:gridSpan w:val="2"/>
            <w:tcBorders/>
            <w:shd w:color="auto" w:fill="auto" w:val="clear"/>
          </w:tcPr>
          <w:p>
            <w:pPr>
              <w:pStyle w:val="NormalWeb"/>
              <w:widowControl/>
              <w:numPr>
                <w:ilvl w:val="0"/>
                <w:numId w:val="2"/>
              </w:numPr>
              <w:suppressAutoHyphens w:val="true"/>
              <w:spacing w:beforeAutospacing="0" w:before="0" w:after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kern w:val="0"/>
                <w:lang w:val="ru-RU" w:bidi="ar-SA"/>
              </w:rPr>
              <w:t>Информация об аудируемых лицах и величине выручки от оказанных аудиторской организацией услуг</w:t>
            </w:r>
          </w:p>
        </w:tc>
      </w:tr>
      <w:tr>
        <w:trPr/>
        <w:tc>
          <w:tcPr>
            <w:tcW w:w="679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Перечень общественно значимых организаций, которым АО «МКД» были оказаны аудиторские услуги за год, закончившийся 31.12.2023:</w:t>
            </w:r>
          </w:p>
          <w:p>
            <w:pPr>
              <w:pStyle w:val="ListParagraph"/>
              <w:widowControl/>
              <w:numPr>
                <w:ilvl w:val="0"/>
                <w:numId w:val="8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ООО «Реаторг» (ОГРН: 1115074013735).</w:t>
            </w:r>
          </w:p>
          <w:p>
            <w:pPr>
              <w:pStyle w:val="NormalWeb"/>
              <w:widowControl/>
              <w:suppressAutoHyphens w:val="true"/>
              <w:spacing w:beforeAutospacing="0" w:before="0" w:afterAutospacing="0" w:after="16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850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2023 году АО «МКД» имело выручку от: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оказание услуг аудита и обзорных проверок – 43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 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259,9 тыс. руб.;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оказание сопутствующих аудиту услуг – 1 198,8 тыс. руб.;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оказание прочих, связанных с аудиторской деятельностью услуг –13 005,6 тыс. руб.</w:t>
            </w:r>
          </w:p>
        </w:tc>
      </w:tr>
      <w:tr>
        <w:trPr/>
        <w:tc>
          <w:tcPr>
            <w:tcW w:w="679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величины выручки от оказания аудиторских услуг;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величины выручки от оказания прочих связанных с аудиторской деятельностью услуг с указанием, в том числе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85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2023 году АО «МКД» оказывало аудиторские услуги и прочие связанные с аудиторской деятельностью услуги общественно значимым организациям.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Величина выручки составила от оказания вышеназванных услуг составила 640 тыс. руб., в том числе: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величина выручки от оказания аудиторских услуг – 640 тыс. руб.;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величина выручки от оказания прочих связанных с аудиторской деятельностью услуг – 0 тыс.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0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c702b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d76bb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5390"/>
    <w:rPr>
      <w:b/>
      <w:bCs/>
    </w:rPr>
  </w:style>
  <w:style w:type="character" w:styleId="Hyperlink">
    <w:name w:val="Hyperlink"/>
    <w:basedOn w:val="DefaultParagraphFont"/>
    <w:uiPriority w:val="99"/>
    <w:unhideWhenUsed/>
    <w:rsid w:val="00705390"/>
    <w:rPr>
      <w:color w:val="0000FF"/>
      <w:u w:val="single"/>
    </w:rPr>
  </w:style>
  <w:style w:type="character" w:styleId="2" w:customStyle="1">
    <w:name w:val="Заголовок 2 Знак"/>
    <w:basedOn w:val="DefaultParagraphFont"/>
    <w:uiPriority w:val="9"/>
    <w:qFormat/>
    <w:rsid w:val="003d76bb"/>
    <w:rPr>
      <w:rFonts w:ascii="Calibri Light" w:hAnsi="Calibri Light" w:eastAsia="" w:cs="" w:asciiTheme="majorHAnsi" w:cstheme="majorBidi" w:eastAsiaTheme="majorEastAsia" w:hAnsiTheme="majorHAnsi"/>
      <w:b/>
      <w:bCs/>
      <w:color w:themeColor="accent1" w:val="4472C4"/>
      <w:sz w:val="26"/>
      <w:szCs w:val="26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ca09c8"/>
    <w:rPr>
      <w:rFonts w:ascii="Segoe UI" w:hAnsi="Segoe UI" w:cs="Segoe UI"/>
      <w:sz w:val="18"/>
      <w:szCs w:val="18"/>
    </w:rPr>
  </w:style>
  <w:style w:type="character" w:styleId="1" w:customStyle="1">
    <w:name w:val="Заголовок 1 Знак"/>
    <w:basedOn w:val="DefaultParagraphFont"/>
    <w:uiPriority w:val="9"/>
    <w:qFormat/>
    <w:rsid w:val="00c702b3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sz w:val="32"/>
      <w:szCs w:val="32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053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9717a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ca09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053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mcd.spb.ru" TargetMode="External"/><Relationship Id="rId3" Type="http://schemas.openxmlformats.org/officeDocument/2006/relationships/hyperlink" Target="http://www.pkf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LibreOffice/24.2.1.2$Windows_X86_64 LibreOffice_project/db4def46b0453cc22e2d0305797cf981b68ef5ac</Application>
  <AppVersion>15.0000</AppVersion>
  <DocSecurity>4</DocSecurity>
  <Pages>9</Pages>
  <Words>2654</Words>
  <Characters>18860</Characters>
  <CharactersWithSpaces>21362</CharactersWithSpaces>
  <Paragraphs>133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2024-04-01T12:52:00Z</dcterms:created>
  <dc:creator>agleeva</dc:creator>
  <dc:description/>
  <dc:language>ru-RU</dc:language>
  <cp:lastModifiedBy/>
  <cp:lastPrinted>2024-03-29T13:15:00Z</cp:lastPrinted>
  <dcterms:modified xsi:type="dcterms:W3CDTF">2024-04-01T16:52:41Z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